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F31FEB" w:rsidRDefault="00413759" w:rsidP="00413759">
      <w:pPr>
        <w:spacing w:after="0" w:line="276" w:lineRule="auto"/>
        <w:ind w:right="28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BCE698" w14:textId="3041AA45" w:rsidR="008373FD" w:rsidRDefault="008373FD" w:rsidP="008373FD">
      <w:pPr>
        <w:pStyle w:val="NormaleWeb"/>
        <w:spacing w:before="0" w:beforeAutospacing="0" w:after="0" w:afterAutospacing="0"/>
        <w:rPr>
          <w:rFonts w:ascii="Calibri" w:hAnsi="Calibri"/>
          <w:b/>
          <w:bCs/>
          <w:color w:val="000000"/>
          <w:sz w:val="24"/>
          <w:szCs w:val="24"/>
        </w:rPr>
      </w:pPr>
    </w:p>
    <w:p w14:paraId="222D8DD3" w14:textId="77777777" w:rsidR="008373FD" w:rsidRDefault="008373FD" w:rsidP="008373F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65C37ECE" w14:textId="77777777" w:rsidR="000F7FD1" w:rsidRDefault="000F7FD1" w:rsidP="008373F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5F39744D" w14:textId="3FE72970" w:rsidR="008373FD" w:rsidRDefault="008373FD" w:rsidP="008373FD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4"/>
          <w:szCs w:val="24"/>
        </w:rPr>
        <w:t>NETWORK, ECOSISTEMA E FORMAZIONE </w:t>
      </w:r>
    </w:p>
    <w:p w14:paraId="3A2F8C15" w14:textId="77777777" w:rsidR="008373FD" w:rsidRDefault="008373FD" w:rsidP="008373FD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4"/>
          <w:szCs w:val="24"/>
        </w:rPr>
        <w:t>PER TRATTENERE IN ITALIA CHI VUOLE FARE INNOVAZIONE. </w:t>
      </w:r>
    </w:p>
    <w:p w14:paraId="4D1DE0DD" w14:textId="77777777" w:rsidR="008373FD" w:rsidRDefault="008373FD" w:rsidP="008373FD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Fermare la fuga dei cervelli è uno degli ambiziosi progetti di Talent Garden e con questo messaggio apre i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battenti il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nuovo campus Talent Garden di Roma, il più grande d’Italia, che rappresenta un importante </w:t>
      </w: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investimento sull'ecosistema digitale romano con l’obiettivo di rendere la Capitale un polo di riferimento per l’innovazione e per il digitale a livello europeo.</w:t>
      </w:r>
    </w:p>
    <w:p w14:paraId="0E4852F5" w14:textId="77777777" w:rsidR="008373FD" w:rsidRDefault="008373FD" w:rsidP="008373FD">
      <w:pPr>
        <w:rPr>
          <w:rFonts w:eastAsia="Times New Roman" w:cs="Times New Roman"/>
        </w:rPr>
      </w:pPr>
    </w:p>
    <w:p w14:paraId="07A33E39" w14:textId="2707F44B" w:rsidR="008373FD" w:rsidRPr="009F7AA1" w:rsidRDefault="008373FD" w:rsidP="009F7AA1">
      <w:pPr>
        <w:pStyle w:val="NormaleWeb"/>
        <w:spacing w:beforeAutospacing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Roma, 14 ottobre 2019</w:t>
      </w:r>
      <w:r w:rsidR="009F7AA1">
        <w:rPr>
          <w:rFonts w:ascii="Calibri" w:hAnsi="Calibri"/>
          <w:color w:val="000000"/>
          <w:sz w:val="22"/>
          <w:szCs w:val="22"/>
        </w:rPr>
        <w:t xml:space="preserve"> – Si è inaugurato oggi</w:t>
      </w:r>
      <w:r>
        <w:rPr>
          <w:rFonts w:ascii="Calibri" w:hAnsi="Calibri"/>
          <w:color w:val="000000"/>
          <w:sz w:val="22"/>
          <w:szCs w:val="22"/>
        </w:rPr>
        <w:t xml:space="preserve"> a Roma </w:t>
      </w:r>
      <w:r>
        <w:rPr>
          <w:rFonts w:ascii="Calibri" w:hAnsi="Calibri"/>
          <w:b/>
          <w:bCs/>
          <w:color w:val="000000"/>
          <w:sz w:val="22"/>
          <w:szCs w:val="22"/>
        </w:rPr>
        <w:t>Talent Garden Ostiense</w:t>
      </w:r>
      <w:r>
        <w:rPr>
          <w:rFonts w:ascii="Calibri" w:hAnsi="Calibri"/>
          <w:color w:val="000000"/>
          <w:sz w:val="22"/>
          <w:szCs w:val="22"/>
        </w:rPr>
        <w:t>, il nuovo campus della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r w:rsidRPr="009F7AA1">
        <w:rPr>
          <w:rFonts w:ascii="Calibri" w:hAnsi="Calibri"/>
          <w:color w:val="222222"/>
          <w:sz w:val="22"/>
          <w:szCs w:val="22"/>
        </w:rPr>
        <w:t>piattaforma leader in Europa per il networking e la formazione nell’ambito dell’innovazione digitale.</w:t>
      </w:r>
    </w:p>
    <w:p w14:paraId="2A7393C6" w14:textId="3F545C16" w:rsidR="009F7AA1" w:rsidRPr="009F7AA1" w:rsidRDefault="009F7AA1" w:rsidP="009F7AA1">
      <w:pPr>
        <w:jc w:val="both"/>
        <w:rPr>
          <w:rFonts w:asciiTheme="minorHAnsi" w:eastAsia="Times New Roman" w:hAnsiTheme="minorHAnsi" w:cs="Times New Roman"/>
          <w:lang w:eastAsia="it-IT"/>
        </w:rPr>
      </w:pPr>
      <w:r w:rsidRPr="009F7AA1">
        <w:rPr>
          <w:rFonts w:asciiTheme="minorHAnsi" w:hAnsiTheme="minorHAnsi"/>
        </w:rPr>
        <w:t xml:space="preserve">All’inaugurazione </w:t>
      </w:r>
      <w:proofErr w:type="gramStart"/>
      <w:r w:rsidRPr="009F7AA1">
        <w:rPr>
          <w:rFonts w:asciiTheme="minorHAnsi" w:hAnsiTheme="minorHAnsi"/>
        </w:rPr>
        <w:t>sono</w:t>
      </w:r>
      <w:proofErr w:type="gramEnd"/>
      <w:r w:rsidRPr="009F7AA1">
        <w:rPr>
          <w:rFonts w:asciiTheme="minorHAnsi" w:hAnsiTheme="minorHAnsi"/>
        </w:rPr>
        <w:t xml:space="preserve"> intervenuti </w:t>
      </w:r>
      <w:r>
        <w:rPr>
          <w:rFonts w:asciiTheme="minorHAnsi" w:eastAsia="Times New Roman" w:hAnsiTheme="minorHAnsi" w:cs="Times New Roman"/>
          <w:lang w:eastAsia="it-IT"/>
        </w:rPr>
        <w:t>il Rettore dell’</w:t>
      </w:r>
      <w:r w:rsidRPr="009F7AA1">
        <w:rPr>
          <w:rFonts w:asciiTheme="minorHAnsi" w:eastAsia="Times New Roman" w:hAnsiTheme="minorHAnsi" w:cs="Times New Roman"/>
          <w:lang w:eastAsia="it-IT"/>
        </w:rPr>
        <w:t xml:space="preserve">Università degli Studi di Roma Tre </w:t>
      </w:r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 xml:space="preserve">Luca </w:t>
      </w:r>
      <w:proofErr w:type="spellStart"/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>Pietromarchi</w:t>
      </w:r>
      <w:proofErr w:type="spellEnd"/>
      <w:r w:rsidRPr="009F7AA1">
        <w:rPr>
          <w:rFonts w:asciiTheme="minorHAnsi" w:eastAsia="Times New Roman" w:hAnsiTheme="minorHAnsi" w:cs="Times New Roman"/>
          <w:bCs/>
          <w:lang w:eastAsia="it-IT"/>
        </w:rPr>
        <w:t>,</w:t>
      </w:r>
      <w:r>
        <w:rPr>
          <w:rFonts w:asciiTheme="minorHAnsi" w:eastAsia="Times New Roman" w:hAnsiTheme="minorHAnsi" w:cs="Times New Roman"/>
          <w:b/>
          <w:bCs/>
          <w:lang w:eastAsia="it-IT"/>
        </w:rPr>
        <w:t xml:space="preserve"> </w:t>
      </w:r>
      <w:r w:rsidRPr="009F7AA1">
        <w:rPr>
          <w:rFonts w:asciiTheme="minorHAnsi" w:eastAsia="Times New Roman" w:hAnsiTheme="minorHAnsi" w:cs="Times New Roman"/>
          <w:lang w:eastAsia="it-IT"/>
        </w:rPr>
        <w:t xml:space="preserve">la Sindaca di Roma </w:t>
      </w:r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>Virginia Raggi</w:t>
      </w:r>
      <w:r>
        <w:rPr>
          <w:rFonts w:asciiTheme="minorHAnsi" w:eastAsia="Times New Roman" w:hAnsiTheme="minorHAnsi" w:cs="Times New Roman"/>
          <w:b/>
          <w:bCs/>
          <w:lang w:eastAsia="it-IT"/>
        </w:rPr>
        <w:t xml:space="preserve">, </w:t>
      </w:r>
      <w:r w:rsidRPr="009F7AA1">
        <w:rPr>
          <w:rFonts w:asciiTheme="minorHAnsi" w:eastAsia="Times New Roman" w:hAnsiTheme="minorHAnsi" w:cs="Times New Roman"/>
          <w:bCs/>
          <w:lang w:eastAsia="it-IT"/>
        </w:rPr>
        <w:t>il Presidente della Regione</w:t>
      </w:r>
      <w:r>
        <w:rPr>
          <w:rFonts w:asciiTheme="minorHAnsi" w:eastAsia="Times New Roman" w:hAnsiTheme="minorHAnsi" w:cs="Times New Roman"/>
          <w:bCs/>
          <w:lang w:eastAsia="it-IT"/>
        </w:rPr>
        <w:t xml:space="preserve"> Lazio</w:t>
      </w:r>
      <w:r w:rsidRPr="009F7AA1">
        <w:rPr>
          <w:rFonts w:asciiTheme="minorHAnsi" w:eastAsia="Times New Roman" w:hAnsiTheme="minorHAnsi" w:cs="Times New Roman"/>
          <w:lang w:eastAsia="it-IT"/>
        </w:rPr>
        <w:t xml:space="preserve"> </w:t>
      </w:r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>Nicola Zingaretti</w:t>
      </w:r>
      <w:r w:rsidRPr="009F7AA1">
        <w:rPr>
          <w:rFonts w:asciiTheme="minorHAnsi" w:eastAsia="Times New Roman" w:hAnsiTheme="minorHAnsi" w:cs="Times New Roman"/>
          <w:bCs/>
          <w:lang w:eastAsia="it-IT"/>
        </w:rPr>
        <w:t>,</w:t>
      </w:r>
      <w:r>
        <w:rPr>
          <w:rFonts w:asciiTheme="minorHAnsi" w:eastAsia="Times New Roman" w:hAnsiTheme="minorHAnsi" w:cs="Times New Roman"/>
          <w:b/>
          <w:bCs/>
          <w:lang w:eastAsia="it-IT"/>
        </w:rPr>
        <w:t xml:space="preserve"> </w:t>
      </w:r>
      <w:r w:rsidRPr="009F7AA1">
        <w:rPr>
          <w:rFonts w:asciiTheme="minorHAnsi" w:hAnsiTheme="minorHAnsi"/>
        </w:rPr>
        <w:t xml:space="preserve">il Ministro dell’Innovazione </w:t>
      </w:r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>Paola Pisano</w:t>
      </w:r>
      <w:r>
        <w:rPr>
          <w:rFonts w:asciiTheme="minorHAnsi" w:eastAsia="Times New Roman" w:hAnsiTheme="minorHAnsi" w:cs="Times New Roman"/>
          <w:bCs/>
          <w:lang w:eastAsia="it-IT"/>
        </w:rPr>
        <w:t xml:space="preserve"> e </w:t>
      </w:r>
      <w:r w:rsidRPr="009F7AA1">
        <w:rPr>
          <w:rFonts w:asciiTheme="minorHAnsi" w:eastAsia="Times New Roman" w:hAnsiTheme="minorHAnsi" w:cs="Times New Roman"/>
          <w:bCs/>
          <w:lang w:eastAsia="it-IT"/>
        </w:rPr>
        <w:t>il</w:t>
      </w:r>
      <w:r w:rsidRPr="009F7AA1">
        <w:rPr>
          <w:rFonts w:asciiTheme="minorHAnsi" w:eastAsia="Times New Roman" w:hAnsiTheme="minorHAnsi" w:cs="Times New Roman"/>
          <w:b/>
          <w:bCs/>
          <w:lang w:eastAsia="it-IT"/>
        </w:rPr>
        <w:t xml:space="preserve"> </w:t>
      </w:r>
      <w:r w:rsidRPr="009F7AA1">
        <w:rPr>
          <w:rFonts w:asciiTheme="minorHAnsi" w:eastAsia="Times New Roman" w:hAnsiTheme="minorHAnsi" w:cs="Arial"/>
          <w:shd w:val="clear" w:color="auto" w:fill="FFFFFF"/>
          <w:lang w:eastAsia="it-IT"/>
        </w:rPr>
        <w:t>Ministro per i beni e le attività culturali</w:t>
      </w:r>
      <w:r>
        <w:rPr>
          <w:rFonts w:asciiTheme="minorHAnsi" w:eastAsia="Times New Roman" w:hAnsiTheme="minorHAnsi" w:cs="Times New Roman"/>
          <w:b/>
          <w:bCs/>
          <w:lang w:eastAsia="it-IT"/>
        </w:rPr>
        <w:t xml:space="preserve"> </w:t>
      </w:r>
      <w:r w:rsidRPr="009F7AA1">
        <w:rPr>
          <w:rFonts w:asciiTheme="minorHAnsi" w:eastAsia="Times New Roman" w:hAnsiTheme="minorHAnsi" w:cs="Arial"/>
          <w:b/>
          <w:shd w:val="clear" w:color="auto" w:fill="FFFFFF"/>
          <w:lang w:eastAsia="it-IT"/>
        </w:rPr>
        <w:t xml:space="preserve">Dario </w:t>
      </w:r>
      <w:proofErr w:type="spellStart"/>
      <w:r w:rsidRPr="009F7AA1">
        <w:rPr>
          <w:rFonts w:asciiTheme="minorHAnsi" w:eastAsia="Times New Roman" w:hAnsiTheme="minorHAnsi" w:cs="Arial"/>
          <w:b/>
          <w:shd w:val="clear" w:color="auto" w:fill="FFFFFF"/>
          <w:lang w:eastAsia="it-IT"/>
        </w:rPr>
        <w:t>Franceschini</w:t>
      </w:r>
      <w:proofErr w:type="spellEnd"/>
      <w:r>
        <w:rPr>
          <w:rFonts w:asciiTheme="minorHAnsi" w:eastAsia="Times New Roman" w:hAnsiTheme="minorHAnsi" w:cs="Arial"/>
          <w:b/>
          <w:shd w:val="clear" w:color="auto" w:fill="FFFFFF"/>
          <w:lang w:eastAsia="it-IT"/>
        </w:rPr>
        <w:t>.</w:t>
      </w:r>
      <w:bookmarkStart w:id="0" w:name="_GoBack"/>
      <w:bookmarkEnd w:id="0"/>
    </w:p>
    <w:p w14:paraId="1C96D38C" w14:textId="5C9064B0" w:rsidR="008373FD" w:rsidRDefault="008373FD" w:rsidP="008373FD">
      <w:pPr>
        <w:pStyle w:val="NormaleWeb"/>
        <w:spacing w:beforeAutospacing="0" w:afterAutospacing="0"/>
        <w:jc w:val="both"/>
      </w:pPr>
      <w:r>
        <w:rPr>
          <w:rFonts w:ascii="Calibri" w:hAnsi="Calibri"/>
          <w:color w:val="222222"/>
          <w:sz w:val="22"/>
          <w:szCs w:val="22"/>
        </w:rPr>
        <w:t>L’aper</w:t>
      </w:r>
      <w:r w:rsidR="009F7AA1">
        <w:rPr>
          <w:rFonts w:ascii="Calibri" w:hAnsi="Calibri"/>
          <w:color w:val="222222"/>
          <w:sz w:val="22"/>
          <w:szCs w:val="22"/>
        </w:rPr>
        <w:t xml:space="preserve">tura del Campus nella Capitale </w:t>
      </w:r>
      <w:r>
        <w:rPr>
          <w:rFonts w:ascii="Calibri" w:hAnsi="Calibri"/>
          <w:color w:val="222222"/>
          <w:sz w:val="22"/>
          <w:szCs w:val="22"/>
        </w:rPr>
        <w:t xml:space="preserve">come tutto il percorso di crescita di Talent Garden in questi anni, è mosso da quello che fin dalle origini è la </w:t>
      </w:r>
      <w:proofErr w:type="spellStart"/>
      <w:r>
        <w:rPr>
          <w:rFonts w:ascii="Calibri" w:hAnsi="Calibri"/>
          <w:color w:val="222222"/>
          <w:sz w:val="22"/>
          <w:szCs w:val="22"/>
        </w:rPr>
        <w:t>mission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del progetto: realizzare opportunità concrete per rispondere alla richiesta dei giovani innovatori di sentirsi parte </w:t>
      </w:r>
      <w:proofErr w:type="gramStart"/>
      <w:r>
        <w:rPr>
          <w:rFonts w:ascii="Calibri" w:hAnsi="Calibri"/>
          <w:color w:val="222222"/>
          <w:sz w:val="22"/>
          <w:szCs w:val="22"/>
        </w:rPr>
        <w:t>di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un ecosistema più grande dei confini del proprio paese, dove sviluppare connessioni internazionali con grandi aziende e altri innovatori. Un’esigenza spesso disattesa e che negli ultimi anni ha contribuito a quella che </w:t>
      </w:r>
      <w:proofErr w:type="gramStart"/>
      <w:r>
        <w:rPr>
          <w:rFonts w:ascii="Calibri" w:hAnsi="Calibri"/>
          <w:color w:val="222222"/>
          <w:sz w:val="22"/>
          <w:szCs w:val="22"/>
        </w:rPr>
        <w:t>viene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definita </w:t>
      </w:r>
      <w:r>
        <w:rPr>
          <w:rFonts w:ascii="Calibri" w:hAnsi="Calibri"/>
          <w:i/>
          <w:iCs/>
          <w:color w:val="222222"/>
          <w:sz w:val="22"/>
          <w:szCs w:val="22"/>
        </w:rPr>
        <w:t xml:space="preserve">fuga di cervelli </w:t>
      </w:r>
      <w:r w:rsidR="00ED2ED8">
        <w:rPr>
          <w:rFonts w:ascii="Calibri" w:hAnsi="Calibri"/>
          <w:color w:val="222222"/>
          <w:sz w:val="22"/>
          <w:szCs w:val="22"/>
        </w:rPr>
        <w:t>costringendo 250.000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r w:rsidR="00ED2ED8">
        <w:rPr>
          <w:rStyle w:val="Rimandonotaapidipagina"/>
          <w:rFonts w:ascii="Calibri" w:hAnsi="Calibri"/>
          <w:color w:val="222222"/>
          <w:sz w:val="22"/>
          <w:szCs w:val="22"/>
        </w:rPr>
        <w:footnoteReference w:id="1"/>
      </w:r>
      <w:proofErr w:type="gramStart"/>
      <w:r>
        <w:rPr>
          <w:rFonts w:ascii="Calibri" w:hAnsi="Calibri"/>
          <w:color w:val="222222"/>
          <w:sz w:val="22"/>
          <w:szCs w:val="22"/>
        </w:rPr>
        <w:t>giovani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a lasciare l’Italia. Una perdita di risorse per il paese che è diventata patologica in questi ultimi anni e che ha già avuto un costo complessi</w:t>
      </w:r>
      <w:r w:rsidR="00ED2ED8">
        <w:rPr>
          <w:rFonts w:ascii="Calibri" w:hAnsi="Calibri"/>
          <w:color w:val="222222"/>
          <w:sz w:val="22"/>
          <w:szCs w:val="22"/>
        </w:rPr>
        <w:t xml:space="preserve">vo stimato in oltre </w:t>
      </w:r>
      <w:proofErr w:type="gramStart"/>
      <w:r w:rsidR="00ED2ED8">
        <w:rPr>
          <w:rFonts w:ascii="Calibri" w:hAnsi="Calibri"/>
          <w:color w:val="222222"/>
          <w:sz w:val="22"/>
          <w:szCs w:val="22"/>
        </w:rPr>
        <w:t>16</w:t>
      </w:r>
      <w:proofErr w:type="gramEnd"/>
      <w:r w:rsidR="00ED2ED8">
        <w:rPr>
          <w:rFonts w:ascii="Calibri" w:hAnsi="Calibri"/>
          <w:color w:val="222222"/>
          <w:sz w:val="22"/>
          <w:szCs w:val="22"/>
        </w:rPr>
        <w:t xml:space="preserve"> miliardi</w:t>
      </w:r>
      <w:r w:rsidR="00ED2ED8">
        <w:rPr>
          <w:rStyle w:val="Rimandonotaapidipagina"/>
          <w:rFonts w:ascii="Calibri" w:hAnsi="Calibri"/>
          <w:color w:val="222222"/>
          <w:sz w:val="22"/>
          <w:szCs w:val="22"/>
        </w:rPr>
        <w:footnoteReference w:id="2"/>
      </w:r>
      <w:r>
        <w:rPr>
          <w:rFonts w:ascii="Calibri" w:hAnsi="Calibri"/>
          <w:color w:val="222222"/>
          <w:sz w:val="22"/>
          <w:szCs w:val="22"/>
        </w:rPr>
        <w:t>, includendo sia la spesa sostenuta dall’istruzione pubblica che considerando i mancati introiti fiscali che questi lavoratori avrebbero generato.</w:t>
      </w:r>
    </w:p>
    <w:p w14:paraId="613E563C" w14:textId="7737AD83" w:rsidR="008373FD" w:rsidRDefault="008373FD" w:rsidP="008373FD">
      <w:pPr>
        <w:pStyle w:val="NormaleWeb"/>
        <w:spacing w:beforeAutospacing="0" w:afterAutospacing="0"/>
        <w:jc w:val="both"/>
      </w:pPr>
      <w:r>
        <w:rPr>
          <w:rFonts w:ascii="Calibri" w:hAnsi="Calibri"/>
          <w:i/>
          <w:iCs/>
          <w:color w:val="222222"/>
          <w:sz w:val="22"/>
          <w:szCs w:val="22"/>
        </w:rPr>
        <w:t>“</w:t>
      </w:r>
      <w:proofErr w:type="gramStart"/>
      <w:r>
        <w:rPr>
          <w:rFonts w:ascii="Calibri" w:hAnsi="Calibri"/>
          <w:i/>
          <w:iCs/>
          <w:color w:val="222222"/>
          <w:sz w:val="22"/>
          <w:szCs w:val="22"/>
        </w:rPr>
        <w:t>Vogliamo</w:t>
      </w:r>
      <w:proofErr w:type="gramEnd"/>
      <w:r>
        <w:rPr>
          <w:rFonts w:ascii="Calibri" w:hAnsi="Calibri"/>
          <w:i/>
          <w:iCs/>
          <w:color w:val="222222"/>
          <w:sz w:val="22"/>
          <w:szCs w:val="22"/>
        </w:rPr>
        <w:t xml:space="preserve"> essere motore del cambiamento nell’ambito dell’innovazione creando luoghi fisici che supportino la creazione di connessioni, offrendo un’alternativa concreta a chi dall’Italia guarda al resto del mondo creando un ponte verso e da i</w:t>
      </w:r>
      <w:r w:rsidR="00543823">
        <w:rPr>
          <w:rFonts w:ascii="Calibri" w:hAnsi="Calibri"/>
          <w:i/>
          <w:iCs/>
          <w:color w:val="222222"/>
          <w:sz w:val="22"/>
          <w:szCs w:val="22"/>
        </w:rPr>
        <w:t xml:space="preserve"> centri dell’innovazione internazionale</w:t>
      </w:r>
      <w:r>
        <w:rPr>
          <w:rFonts w:ascii="Calibri" w:hAnsi="Calibri"/>
          <w:i/>
          <w:iCs/>
          <w:color w:val="222222"/>
          <w:sz w:val="22"/>
          <w:szCs w:val="22"/>
        </w:rPr>
        <w:t xml:space="preserve">” </w:t>
      </w:r>
      <w:r>
        <w:rPr>
          <w:rFonts w:ascii="Calibri" w:hAnsi="Calibri"/>
          <w:b/>
          <w:bCs/>
          <w:color w:val="222222"/>
          <w:sz w:val="22"/>
          <w:szCs w:val="22"/>
        </w:rPr>
        <w:t xml:space="preserve">dichiara Davide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</w:rPr>
        <w:t>Dattoli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</w:rPr>
        <w:t xml:space="preserve"> CEO e co-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</w:rPr>
        <w:t>founder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</w:rPr>
        <w:t xml:space="preserve"> di Talent Garden”</w:t>
      </w:r>
      <w:r>
        <w:rPr>
          <w:rFonts w:ascii="Calibri" w:hAnsi="Calibri"/>
          <w:i/>
          <w:iCs/>
          <w:color w:val="222222"/>
          <w:sz w:val="22"/>
          <w:szCs w:val="22"/>
        </w:rPr>
        <w:t>.</w:t>
      </w:r>
    </w:p>
    <w:p w14:paraId="2F7F145D" w14:textId="77777777" w:rsidR="008373FD" w:rsidRDefault="008373FD" w:rsidP="008373FD">
      <w:pPr>
        <w:pStyle w:val="NormaleWeb"/>
        <w:spacing w:beforeAutospacing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Il campus Ostiense, il ventiseiesimo in Europa, il più grande d’Italia con i suoi 5.000 mq2, rappresenta un importante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investimento sull'ecosistema digitale romano che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verrà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connesso all'ecosistema europeo con l’obiettivo di rendere Roma un polo di riferimento per il mondo dell’innovazione e del digitale ed una città attrattiva per le realtà internazionali. </w:t>
      </w:r>
    </w:p>
    <w:p w14:paraId="393D0216" w14:textId="77777777" w:rsidR="008373FD" w:rsidRDefault="008373FD" w:rsidP="008373FD">
      <w:pPr>
        <w:pStyle w:val="NormaleWeb"/>
        <w:spacing w:beforeAutospacing="0" w:afterAutospacing="0"/>
        <w:jc w:val="both"/>
      </w:pPr>
      <w:r>
        <w:rPr>
          <w:rFonts w:ascii="Calibri" w:hAnsi="Calibri"/>
          <w:i/>
          <w:iCs/>
          <w:color w:val="222222"/>
          <w:sz w:val="22"/>
          <w:szCs w:val="22"/>
        </w:rPr>
        <w:t>“Noi di Talent Garden crediamo che la ricetta vincente per trattenere i talenti sia composta dal network, dalla creazione dell’ecosistema internazionale e dalla formazione</w:t>
      </w:r>
      <w:r>
        <w:rPr>
          <w:rFonts w:ascii="Calibri" w:hAnsi="Calibri"/>
          <w:color w:val="222222"/>
          <w:sz w:val="22"/>
          <w:szCs w:val="22"/>
        </w:rPr>
        <w:t xml:space="preserve">.” </w:t>
      </w:r>
      <w:proofErr w:type="gramStart"/>
      <w:r>
        <w:rPr>
          <w:rFonts w:ascii="Calibri" w:hAnsi="Calibri"/>
          <w:color w:val="222222"/>
          <w:sz w:val="22"/>
          <w:szCs w:val="22"/>
        </w:rPr>
        <w:t>dichiara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Lorenzo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Maternini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, Vice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President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Global Sales &amp; Country Manager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Italy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Talent Garden “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Una formazione verticale e specialistica basata sul digitale e sulle nuove tecnologie capace di rispondere alle reali richieste del mercato è alla base dell’offerta della nostra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School che da settembre abbiamo portato anche qui a Roma e in cui contiamo di formare oltre 1.000 persone in due anni sui temi del digitale e dell’innovazione tecnologica.</w:t>
      </w:r>
    </w:p>
    <w:p w14:paraId="7485D8B6" w14:textId="77777777" w:rsidR="008373FD" w:rsidRDefault="008373FD" w:rsidP="008373FD">
      <w:pPr>
        <w:pStyle w:val="NormaleWeb"/>
        <w:spacing w:beforeAutospacing="0" w:afterAutospacing="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lastRenderedPageBreak/>
        <w:t xml:space="preserve">All’interno del Campus sono già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attive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le partnership con istituzioni universitarie e corporate come l’</w:t>
      </w: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Università degli Studi Roma Tre, Accenture, Acea, ENI,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FabLab</w:t>
      </w:r>
      <w:proofErr w:type="spellEnd"/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 Roma, Leonardo, Poste Italiane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14:paraId="7D0F65FD" w14:textId="1DD596CA" w:rsidR="000F7FD1" w:rsidRDefault="00543823" w:rsidP="008373FD">
      <w:pPr>
        <w:pStyle w:val="NormaleWeb"/>
        <w:spacing w:beforeAutospacing="0" w:afterAutospacing="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L’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I</w:t>
      </w:r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>nnovation</w:t>
      </w:r>
      <w:proofErr w:type="spellEnd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School, attiva da settembre, offre un pacchetto di corsi a studenti e professionisti che già lavorano e vogliono aggiornarsi con percorsi full time e part time e </w:t>
      </w:r>
      <w:proofErr w:type="spellStart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>masterclass</w:t>
      </w:r>
      <w:proofErr w:type="spellEnd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. I primi corsi sono indirizzati a chi cerca competenze di User Experience Design, Digital Marketing e </w:t>
      </w:r>
      <w:proofErr w:type="gramStart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>User Interface</w:t>
      </w:r>
      <w:proofErr w:type="gramEnd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Design. Il 22 Ottobre partirà la </w:t>
      </w:r>
      <w:proofErr w:type="spellStart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>masterclass</w:t>
      </w:r>
      <w:proofErr w:type="spellEnd"/>
      <w:r w:rsidR="008373FD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in Digital Law.</w:t>
      </w:r>
    </w:p>
    <w:p w14:paraId="0682E65D" w14:textId="77777777" w:rsidR="000F7FD1" w:rsidRDefault="000F7FD1" w:rsidP="008373FD">
      <w:pPr>
        <w:pStyle w:val="NormaleWeb"/>
        <w:spacing w:beforeAutospacing="0" w:afterAutospacing="0"/>
        <w:jc w:val="both"/>
      </w:pPr>
    </w:p>
    <w:p w14:paraId="65FB4092" w14:textId="77777777" w:rsidR="008373FD" w:rsidRDefault="008373FD" w:rsidP="008373FD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b/>
          <w:bCs/>
          <w:color w:val="222222"/>
          <w:sz w:val="22"/>
          <w:szCs w:val="22"/>
          <w:u w:val="single"/>
          <w:shd w:val="clear" w:color="auto" w:fill="FFFFFF"/>
        </w:rPr>
        <w:t>Plus del Campus di Roma</w:t>
      </w:r>
    </w:p>
    <w:p w14:paraId="29C1029C" w14:textId="76DF033D" w:rsidR="00543823" w:rsidRPr="000F7FD1" w:rsidRDefault="008373FD" w:rsidP="00791AE3">
      <w:pPr>
        <w:pStyle w:val="NormaleWeb"/>
        <w:spacing w:before="120" w:beforeAutospacing="0" w:after="0" w:afterAutospacing="0"/>
        <w:jc w:val="both"/>
      </w:pP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Ad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oggi a Roma ci sono due campus: </w:t>
      </w:r>
      <w:r>
        <w:rPr>
          <w:rFonts w:ascii="Calibri" w:hAnsi="Calibri"/>
          <w:i/>
          <w:iCs/>
          <w:color w:val="222222"/>
          <w:sz w:val="22"/>
          <w:szCs w:val="22"/>
          <w:shd w:val="clear" w:color="auto" w:fill="FFFFFF"/>
        </w:rPr>
        <w:t>Talent Garden Poste Italiane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, in zona piazza Mazzini, e </w:t>
      </w:r>
      <w:r>
        <w:rPr>
          <w:rFonts w:ascii="Calibri" w:hAnsi="Calibri"/>
          <w:i/>
          <w:iCs/>
          <w:color w:val="222222"/>
          <w:sz w:val="22"/>
          <w:szCs w:val="22"/>
          <w:shd w:val="clear" w:color="auto" w:fill="FFFFFF"/>
        </w:rPr>
        <w:t>Talent Garden Cinecittà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. A fronte del processo di cambiamento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di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Roma e della creazione di un nuovo polo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digital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/design in zona Ostiense, è stata naturale l’evoluzione coprendo anche questa nuova zona.</w:t>
      </w:r>
    </w:p>
    <w:p w14:paraId="74653C6D" w14:textId="77777777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Ciascun campus ha poi degli elementi che si basano sulle necessità e su quello che è rilevante a livello locale: un modello quindi che ha un chiaro elemento “global” che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viene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adattato con una forte componente “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local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”, definita sulle esigenze della città e della community: dalla presenza dei parcheggi del campus di Ostiense ai corsi della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Innovation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School che sono costruiti sulla base della richiesta locale.</w:t>
      </w:r>
    </w:p>
    <w:p w14:paraId="6ACC155C" w14:textId="77777777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Inoltre anche a Roma Ostiense come per gli altri Campus vale la possibilità per i membri di accedere a tutta la rete europea con la stessa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membership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14:paraId="325C5CB0" w14:textId="77777777" w:rsidR="008373FD" w:rsidRDefault="008373FD" w:rsidP="008373FD">
      <w:pPr>
        <w:pStyle w:val="NormaleWeb"/>
        <w:spacing w:before="120" w:beforeAutospacing="0" w:after="0" w:afterAutospacing="0"/>
        <w:ind w:left="8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 </w:t>
      </w:r>
    </w:p>
    <w:p w14:paraId="1C5CA5EE" w14:textId="77777777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b/>
          <w:bCs/>
          <w:color w:val="222222"/>
          <w:sz w:val="22"/>
          <w:szCs w:val="22"/>
          <w:u w:val="single"/>
          <w:shd w:val="clear" w:color="auto" w:fill="FFFFFF"/>
        </w:rPr>
        <w:t>Caratteristiche e organizzazione del Campus </w:t>
      </w:r>
    </w:p>
    <w:p w14:paraId="295654B5" w14:textId="30CB1B9E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L'area è un ex complesso industriale ed è di fatto immerso in un panorama di archeologia industriale, nei pressi del Gazometro, in via Ostiense. Il campus copre una superficie di </w:t>
      </w: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 xml:space="preserve">5.000 mq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e avrà </w:t>
      </w: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300 postazioni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ed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dotato di una sala eventi a disposizione della città e terrazze e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café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a disposizione della community dove sarà possibile per incontrarsi e fare networking. </w:t>
      </w:r>
    </w:p>
    <w:p w14:paraId="6FFC74E6" w14:textId="19E1FA2F" w:rsidR="008373FD" w:rsidRDefault="008373FD" w:rsidP="00791AE3">
      <w:pPr>
        <w:pStyle w:val="NormaleWeb"/>
        <w:spacing w:before="120" w:beforeAutospacing="0" w:after="0" w:afterAutospacing="0"/>
        <w:jc w:val="both"/>
      </w:pP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La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location permette di raggiungere il campus in modo semplice: Talent Garden Ostiense, infatti, nasce di fronte alla fermata metro B Garbatella, tra Piramide e San Paolo. Sette linee di autobus che transitano su Via Ostiense che collegano con l'EUR, con il Centro e con Roma Nord direttamente</w:t>
      </w:r>
      <w:r w:rsidR="00543823"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14:paraId="431D90E4" w14:textId="77777777" w:rsidR="008373FD" w:rsidRDefault="008373FD" w:rsidP="008373FD">
      <w:pPr>
        <w:rPr>
          <w:rFonts w:eastAsia="Times New Roman" w:cs="Times New Roman"/>
        </w:rPr>
      </w:pPr>
    </w:p>
    <w:p w14:paraId="604C660D" w14:textId="77777777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b/>
          <w:bCs/>
          <w:color w:val="222222"/>
          <w:sz w:val="22"/>
          <w:szCs w:val="22"/>
          <w:u w:val="single"/>
          <w:shd w:val="clear" w:color="auto" w:fill="FFFFFF"/>
        </w:rPr>
        <w:t>Layout e progettazione del Campus</w:t>
      </w:r>
    </w:p>
    <w:p w14:paraId="6DF3D7C9" w14:textId="77777777" w:rsidR="008373FD" w:rsidRDefault="008373FD" w:rsidP="00791AE3">
      <w:pPr>
        <w:pStyle w:val="NormaleWeb"/>
        <w:spacing w:before="120" w:beforeAutospacing="0" w:after="0" w:afterAutospacing="0"/>
        <w:jc w:val="both"/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I campus sono disegnati e realizzati sulle specifiche necessità di chi ci lavora, della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community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dei </w:t>
      </w:r>
      <w:proofErr w:type="spellStart"/>
      <w:r w:rsidRPr="000F7FD1">
        <w:rPr>
          <w:rFonts w:ascii="Calibri" w:hAnsi="Calibri"/>
          <w:i/>
          <w:color w:val="222222"/>
          <w:sz w:val="22"/>
          <w:szCs w:val="22"/>
          <w:shd w:val="clear" w:color="auto" w:fill="FFFFFF"/>
        </w:rPr>
        <w:t>taggers</w:t>
      </w:r>
      <w:proofErr w:type="spellEnd"/>
      <w:r w:rsidRPr="000F7FD1">
        <w:rPr>
          <w:rFonts w:ascii="Calibri" w:hAnsi="Calibri"/>
          <w:i/>
          <w:color w:val="222222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Un team interno di architetti e ingegneri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infatti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lavorano insieme agli esperti di User Experience. Il progetto </w:t>
      </w:r>
      <w:proofErr w:type="gram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viene</w:t>
      </w:r>
      <w:proofErr w:type="gram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elaborato e costantemente migliorato attraverso l’utilizzo e l’analisi dei dati che vengono raccolti quotidianamente con strumenti tecnologici e che unitamente con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survey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qualitative costanti, permettono di capire quali sono le zone da migliorare, quali sono le aree preferite dai </w:t>
      </w:r>
      <w:proofErr w:type="spellStart"/>
      <w:r w:rsidRPr="000F7FD1">
        <w:rPr>
          <w:rFonts w:ascii="Calibri" w:hAnsi="Calibri"/>
          <w:i/>
          <w:color w:val="222222"/>
          <w:sz w:val="22"/>
          <w:szCs w:val="22"/>
          <w:shd w:val="clear" w:color="auto" w:fill="FFFFFF"/>
        </w:rPr>
        <w:t>taggers</w:t>
      </w:r>
      <w:proofErr w:type="spellEnd"/>
      <w:r w:rsidRPr="000F7FD1">
        <w:rPr>
          <w:rFonts w:ascii="Calibri" w:hAnsi="Calibri"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e quelle più affollate.</w:t>
      </w:r>
    </w:p>
    <w:p w14:paraId="3EAA3CC5" w14:textId="77777777" w:rsidR="008373FD" w:rsidRDefault="008373FD" w:rsidP="008373FD">
      <w:pPr>
        <w:rPr>
          <w:rFonts w:eastAsia="Times New Roman" w:cs="Times New Roman"/>
        </w:rPr>
      </w:pPr>
    </w:p>
    <w:p w14:paraId="23EA2A0F" w14:textId="77777777" w:rsidR="008373FD" w:rsidRPr="00791AE3" w:rsidRDefault="008373FD" w:rsidP="008373FD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Le startup in evidenza</w:t>
      </w:r>
    </w:p>
    <w:p w14:paraId="695C48C7" w14:textId="77777777" w:rsidR="008373FD" w:rsidRPr="00791AE3" w:rsidRDefault="008373FD" w:rsidP="008373FD">
      <w:pPr>
        <w:pStyle w:val="NormaleWeb"/>
        <w:numPr>
          <w:ilvl w:val="0"/>
          <w:numId w:val="12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proofErr w:type="gram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Arsity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  <w:hyperlink r:id="rId9" w:history="1">
        <w:r w:rsidRPr="00791AE3">
          <w:rPr>
            <w:rStyle w:val="Collegamentoipertestuale"/>
            <w:rFonts w:asciiTheme="minorHAnsi" w:hAnsiTheme="minorHAnsi"/>
            <w:b/>
            <w:bCs/>
            <w:color w:val="1155CC"/>
            <w:sz w:val="22"/>
            <w:szCs w:val="22"/>
          </w:rPr>
          <w:t>https://arsity.co/it/</w:t>
        </w:r>
      </w:hyperlink>
      <w:proofErr w:type="gramEnd"/>
    </w:p>
    <w:p w14:paraId="1460F780" w14:textId="77777777" w:rsidR="008373FD" w:rsidRPr="00791AE3" w:rsidRDefault="008373FD" w:rsidP="008373FD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Arsity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una startup innovativa nel settore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museale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. Unisce arte e tecnologia attraverso una piattaforma che aggrega 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geolocalizza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tutte le mostre in corso a Roma. Presto il lancio del primo servizio in abbonamento che permette di accedere illimitatamente a tutti i principali musei pubblici della città, grazie ad una soluzione che digitalizza le singole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membership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dei musei aderenti e le rende disponibili su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smartphone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Arsity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rappresenta una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modalità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innovativa di coinvolgimento del pubblico alla vita culturale cittadina, attraverso la creazione di un sistema integrato dell’offerta culturale dei musei, finalizzato ad avvicinare pubblici non abituali né già fidelizzati a singoli musei.</w:t>
      </w:r>
    </w:p>
    <w:p w14:paraId="6703B0FB" w14:textId="77777777" w:rsidR="008373FD" w:rsidRPr="00791AE3" w:rsidRDefault="008373FD" w:rsidP="008373FD">
      <w:pPr>
        <w:pStyle w:val="NormaleWeb"/>
        <w:numPr>
          <w:ilvl w:val="0"/>
          <w:numId w:val="13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proofErr w:type="gram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Forward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Fooding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  <w:hyperlink r:id="rId10" w:history="1">
        <w:r w:rsidRPr="00791AE3">
          <w:rPr>
            <w:rStyle w:val="Collegamentoipertestuale"/>
            <w:rFonts w:asciiTheme="minorHAnsi" w:hAnsiTheme="minorHAnsi"/>
            <w:b/>
            <w:bCs/>
            <w:color w:val="1155CC"/>
            <w:sz w:val="22"/>
            <w:szCs w:val="22"/>
          </w:rPr>
          <w:t>https://forwardfooding.com/</w:t>
        </w:r>
      </w:hyperlink>
      <w:proofErr w:type="gramEnd"/>
    </w:p>
    <w:p w14:paraId="4D90FF02" w14:textId="77777777" w:rsidR="00791AE3" w:rsidRDefault="008373FD" w:rsidP="00791AE3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Forward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Fooding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e’</w:t>
      </w:r>
      <w:proofErr w:type="spellEnd"/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la prima piattaforma collaborativa per l’industria alimentare e dell’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agrifood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. Aiutiamo grandi aziende e multinazionali che operano nel settore del </w:t>
      </w:r>
      <w:proofErr w:type="spellStart"/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food</w:t>
      </w:r>
      <w:proofErr w:type="spellEnd"/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beverage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 creare </w:t>
      </w:r>
      <w:r w:rsidRPr="00791AE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collaborazioni strategiche con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scaleups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startups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del nostro network principalmente attraverso partnership commerciali, investimenti ed acquisizioni. Abbiamo anche creato la prima piattaforma di data intelligence per il settore agri-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foodtech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il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Foodtech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Data Navigator, e abbiamo accesso a un database globale di 12K+ attori nel settore agri-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foodtech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tra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startups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>, investitori e acceleratori.</w:t>
      </w:r>
    </w:p>
    <w:p w14:paraId="17C5248C" w14:textId="77777777" w:rsidR="00791AE3" w:rsidRDefault="00791AE3" w:rsidP="00791AE3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685CFF8" w14:textId="4E93D0FC" w:rsidR="008373FD" w:rsidRPr="00791AE3" w:rsidRDefault="008373FD" w:rsidP="00791AE3">
      <w:pPr>
        <w:pStyle w:val="NormaleWeb"/>
        <w:numPr>
          <w:ilvl w:val="0"/>
          <w:numId w:val="19"/>
        </w:numPr>
        <w:spacing w:before="240" w:beforeAutospacing="0" w:after="240" w:afterAutospacing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IT </w:t>
      </w:r>
      <w:proofErr w:type="spell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Raw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Material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  <w:hyperlink r:id="rId11" w:history="1">
        <w:r w:rsidRPr="00791AE3">
          <w:rPr>
            <w:rStyle w:val="Collegamentoipertestuale"/>
            <w:rFonts w:asciiTheme="minorHAnsi" w:hAnsiTheme="minorHAnsi"/>
            <w:b/>
            <w:bCs/>
            <w:color w:val="1155CC"/>
            <w:sz w:val="22"/>
            <w:szCs w:val="22"/>
          </w:rPr>
          <w:t>https://eitrawmaterials.eu/</w:t>
        </w:r>
      </w:hyperlink>
      <w:proofErr w:type="gramEnd"/>
    </w:p>
    <w:p w14:paraId="3688429F" w14:textId="63D00E85" w:rsidR="008373FD" w:rsidRPr="00791AE3" w:rsidRDefault="008373FD" w:rsidP="000F7FD1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EIT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RawMaterials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la più grande comunità al mondo creata per stimolare l’innovazione e la formazione all'imprenditorialità nel settore delle materie prime. EIT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RawMaterials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una KIC (Knowledge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Innovation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Community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>) promossa dall’EIT (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European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Institute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of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Innovation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and Technology) un organo dell’Unione Europea. Formata da più di 370 partner tra industrie, centri di ricerca e università, l’organizzazione ha il suo quartier generale a Berlino. Dal 2016 a Roma è stato insediato l’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Innovation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Hub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(detto anche Co-Location Centre, CLC) per il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sud Europa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attivo nel sostenere e finanziare progetti di innovazione e formazione nel settore dell’economia circolare, riciclo, nuovi materiali, esplorazione mineraria e innovazione per le industrie estrattive, con particolare enfasi ai metalli, minerali e nuovi materiali di fondamentale importanza per la transizione energetica.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EIT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RawMaterials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ad oggi sostiene più di 200 progetti e nel corso dei suoi primi 3 anni di vita ha supportato più di 100 start up innovative. La comunità è anche attiva in programmi di divulgazione per le scuole e la società civile, con lo scopo di comunicare alle giovani generazioni l'importanza di argomenti quali il riciclo, per attrarre nuovi talenti verso una formazione tecnico-scientifica e per stimolare l’imprenditorialità.</w:t>
      </w:r>
    </w:p>
    <w:p w14:paraId="2470AC53" w14:textId="1AF1B690" w:rsidR="008373FD" w:rsidRPr="00791AE3" w:rsidRDefault="008373FD" w:rsidP="008373FD">
      <w:pPr>
        <w:pStyle w:val="NormaleWeb"/>
        <w:numPr>
          <w:ilvl w:val="0"/>
          <w:numId w:val="14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YourCFO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Accademy</w:t>
      </w:r>
      <w:r w:rsidR="00ED2ED8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>https://www.yourcfoacademy.it/</w:t>
      </w:r>
    </w:p>
    <w:p w14:paraId="118FA879" w14:textId="77777777" w:rsidR="008373FD" w:rsidRPr="00791AE3" w:rsidRDefault="008373FD" w:rsidP="008373FD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yourCFO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Academy nasce nel 2015 dall’iniziativa di Fabio Scognamiglio, partner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yourCFO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con la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mission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: “I CFO di oggi per i CFO di domani” ovvero trasmettere la finanza operativa direttamente dai CFO ai giovani laureati, manager e professionisti e si sviluppa, integrando l’offerta con altri aspetti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manageriali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e di business (innovazione,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softskill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imprenditorialità,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etc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) Progettiamo e gestiamo Master e percorsi per junior e executive, Corsi tematici, Formazione In House presso le Aziende, Formazione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OnetoOne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Workshop, Seminari ed Eventi in autonomia e in partnership con Università Nazionali e Internazionali e Business School su tutto il territorio nazionale. La nostra sfida di tutti i giorni è arricchire l’eccellenza della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faculty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(professionisti e manager con esperienze di spessore e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diversificate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che “trasformano” le aule in team di lavoro in grado di produrre valore già dall’immediato) con l’innovazione in tutti gli aspetti (contenuti, servizi, metodologia,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experience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etc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4F3EE5E6" w14:textId="77777777" w:rsidR="008373FD" w:rsidRPr="00791AE3" w:rsidRDefault="008373FD" w:rsidP="008373FD">
      <w:pPr>
        <w:pStyle w:val="NormaleWeb"/>
        <w:numPr>
          <w:ilvl w:val="0"/>
          <w:numId w:val="15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proofErr w:type="gramStart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GoFundMe</w:t>
      </w:r>
      <w:proofErr w:type="spellEnd"/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  <w:hyperlink r:id="rId12" w:history="1">
        <w:r w:rsidRPr="00791AE3">
          <w:rPr>
            <w:rStyle w:val="Collegamentoipertestuale"/>
            <w:rFonts w:asciiTheme="minorHAnsi" w:hAnsiTheme="minorHAnsi"/>
            <w:b/>
            <w:bCs/>
            <w:color w:val="1155CC"/>
            <w:sz w:val="22"/>
            <w:szCs w:val="22"/>
          </w:rPr>
          <w:t>https://www.gofundme.com/</w:t>
        </w:r>
      </w:hyperlink>
      <w:proofErr w:type="gramEnd"/>
    </w:p>
    <w:p w14:paraId="3B068E62" w14:textId="77777777" w:rsidR="008373FD" w:rsidRPr="00791AE3" w:rsidRDefault="008373FD" w:rsidP="008373FD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Lanciata nel 2010,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GoFundMe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la più grande piattaforma mondiale per la raccolta fondi sociale, con oltre 6 miliardi di euro raccolti a livello globale. Nel 2018 ha aperto la sezione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GoFundMe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Italia, su cui, nei suoi primi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14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mesi di vita, sono stati raccolti oltre 8 milioni di euro per cause sociali, spese mediche e legali, solidarietà. Nel TAG di Roma ha sede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GoFundMe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Sud Europa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(Italia, Spagna, Portogallo) con il team composto da Elisa Liberatori Finocchiaro, Luca Salici, Macarena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Arcos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Molas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59119AD" w14:textId="61E6A964" w:rsidR="008373FD" w:rsidRPr="00791AE3" w:rsidRDefault="00711041" w:rsidP="00543823">
      <w:pPr>
        <w:pStyle w:val="Paragrafoelenco"/>
        <w:numPr>
          <w:ilvl w:val="0"/>
          <w:numId w:val="18"/>
        </w:numPr>
        <w:rPr>
          <w:rFonts w:asciiTheme="minorHAnsi" w:eastAsia="Times New Roman" w:hAnsiTheme="minorHAnsi" w:cs="Times New Roman"/>
        </w:rPr>
      </w:pPr>
      <w:proofErr w:type="spellStart"/>
      <w:proofErr w:type="gramStart"/>
      <w:r>
        <w:rPr>
          <w:rFonts w:asciiTheme="minorHAnsi" w:hAnsiTheme="minorHAnsi"/>
          <w:b/>
          <w:bCs/>
          <w:color w:val="000000"/>
          <w:u w:val="single"/>
        </w:rPr>
        <w:t>Uber</w:t>
      </w:r>
      <w:proofErr w:type="spellEnd"/>
      <w:r w:rsidR="00543823" w:rsidRPr="00791AE3">
        <w:rPr>
          <w:rFonts w:asciiTheme="minorHAnsi" w:hAnsiTheme="minorHAnsi"/>
          <w:b/>
          <w:bCs/>
          <w:color w:val="000000"/>
          <w:u w:val="single"/>
        </w:rPr>
        <w:t xml:space="preserve">: </w:t>
      </w:r>
      <w:hyperlink r:id="rId13" w:history="1">
        <w:r w:rsidR="00543823" w:rsidRPr="00791AE3">
          <w:rPr>
            <w:rStyle w:val="Collegamentoipertestuale"/>
            <w:rFonts w:asciiTheme="minorHAnsi" w:eastAsia="Times New Roman" w:hAnsiTheme="minorHAnsi" w:cs="Times New Roman"/>
          </w:rPr>
          <w:t>h</w:t>
        </w:r>
        <w:r w:rsidR="00543823" w:rsidRPr="00791AE3">
          <w:rPr>
            <w:rStyle w:val="Collegamentoipertestuale"/>
            <w:rFonts w:asciiTheme="minorHAnsi" w:eastAsia="Times New Roman" w:hAnsiTheme="minorHAnsi" w:cs="Times New Roman"/>
            <w:b/>
          </w:rPr>
          <w:t>ttps://www.uber.com/it/it/</w:t>
        </w:r>
      </w:hyperlink>
      <w:proofErr w:type="gramEnd"/>
    </w:p>
    <w:p w14:paraId="2E4F5D65" w14:textId="4B1C12E2" w:rsidR="000F7FD1" w:rsidRPr="00791AE3" w:rsidRDefault="008373FD" w:rsidP="00791AE3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La missione di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Uber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rendere il trasporto disponibile come l'acqua corrente - ovunque e per chiunque. Abbiamo iniziato nel 2009 risolvendo un problema: come spostarsi premendo semplicemente un pulsante? Oltre due miliardi di corse dopo, stiamo iniziando ad affrontare una sfida ancora più importante: ridurre il traffico e l'inquinamento nelle nostre città mettendo sempre più persone in meno macchine. Nel 2016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Uber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ha presentato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Uber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Eats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che consente alle persone di cercare e scoprire i ristoranti della propria città, ordinare un pasto con un click e riceverlo a casa in modo veloce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ed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affidabile. Dal momento del lancio di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Eats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tre anni e mezzo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fa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l’azienda ha sfruttato l’esperienza tecnologica e logistica di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Uber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per servire più di 500 città in tutto il mondo, </w:t>
      </w:r>
      <w:r w:rsidRPr="00791AE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mantenendo i tempi di consegna al di sotto dei 30 minuti. In Italia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Uber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Eats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presente in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14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città (Catania, Palermo, Milano, Monza, Torino, Bologna, Firenze, Trieste, Roma, Napoli, Rimini, Reggio Emilia, Genova e Bari) ed offre il servizio a migliaia di ristoranti, con centinaia di migliaia di piatti disponibili sulla piattaforma.</w:t>
      </w:r>
    </w:p>
    <w:p w14:paraId="35BEA4B6" w14:textId="77777777" w:rsidR="000F7FD1" w:rsidRPr="00791AE3" w:rsidRDefault="000F7FD1" w:rsidP="008373FD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81DD004" w14:textId="77777777" w:rsidR="008373FD" w:rsidRPr="00791AE3" w:rsidRDefault="008373FD" w:rsidP="008373FD">
      <w:pPr>
        <w:pStyle w:val="NormaleWeb"/>
        <w:numPr>
          <w:ilvl w:val="0"/>
          <w:numId w:val="17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91AE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Urban Sports Club: </w:t>
      </w:r>
      <w:hyperlink r:id="rId14" w:history="1">
        <w:r w:rsidRPr="00791AE3">
          <w:rPr>
            <w:rStyle w:val="Collegamentoipertestuale"/>
            <w:rFonts w:asciiTheme="minorHAnsi" w:hAnsiTheme="minorHAnsi"/>
            <w:b/>
            <w:bCs/>
            <w:color w:val="1155CC"/>
            <w:sz w:val="22"/>
            <w:szCs w:val="22"/>
          </w:rPr>
          <w:t>https://urbansportsclub.com/en</w:t>
        </w:r>
      </w:hyperlink>
    </w:p>
    <w:p w14:paraId="71A94985" w14:textId="30FC85D4" w:rsidR="000F7FD1" w:rsidRPr="00C23532" w:rsidRDefault="008373FD" w:rsidP="00C23532">
      <w:pPr>
        <w:pStyle w:val="NormaleWeb"/>
        <w:spacing w:before="24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Urban Sports Club offre un unico abbonamento che permette di accedere a centinaia di palestre e centri fitness in Italia (Roma, Milano, Torino e Bologna) e migliaia in Europa (Germania, Francia, Spagna e Portogallo). La nostra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mission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è di aiutare le persone a condurre uno stile di vita più sano e attivo. I soci del club possono scegliere tra più di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50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attività (fitness, nuoto, yoga, arrampicata,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padel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tennis, EMS, </w:t>
      </w:r>
      <w:proofErr w:type="spellStart"/>
      <w:r w:rsidRPr="00791AE3">
        <w:rPr>
          <w:rFonts w:asciiTheme="minorHAnsi" w:hAnsiTheme="minorHAnsi" w:cs="Arial"/>
          <w:color w:val="000000"/>
          <w:sz w:val="22"/>
          <w:szCs w:val="22"/>
        </w:rPr>
        <w:t>crossfit</w:t>
      </w:r>
      <w:proofErr w:type="spell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, arti marziali, danza e molto altro ancora) in più di 7000 sedi associate. Sia i clienti privati </w:t>
      </w:r>
      <w:proofErr w:type="gramStart"/>
      <w:r w:rsidRPr="00791AE3">
        <w:rPr>
          <w:rFonts w:asciiTheme="minorHAnsi" w:hAnsiTheme="minorHAnsi" w:cs="Arial"/>
          <w:color w:val="000000"/>
          <w:sz w:val="22"/>
          <w:szCs w:val="22"/>
        </w:rPr>
        <w:t>che</w:t>
      </w:r>
      <w:proofErr w:type="gramEnd"/>
      <w:r w:rsidRPr="00791AE3">
        <w:rPr>
          <w:rFonts w:asciiTheme="minorHAnsi" w:hAnsiTheme="minorHAnsi" w:cs="Arial"/>
          <w:color w:val="000000"/>
          <w:sz w:val="22"/>
          <w:szCs w:val="22"/>
        </w:rPr>
        <w:t xml:space="preserve"> le aziende possono usufruire di varietà di sport e condizioni flessibili.</w:t>
      </w:r>
    </w:p>
    <w:p w14:paraId="06766164" w14:textId="77777777" w:rsidR="000F7FD1" w:rsidRDefault="000F7FD1" w:rsidP="008373FD">
      <w:pPr>
        <w:pStyle w:val="Normale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0D8ECD2" w14:textId="77777777" w:rsidR="008373FD" w:rsidRDefault="008373FD" w:rsidP="008373FD">
      <w:pPr>
        <w:pStyle w:val="NormaleWeb"/>
        <w:spacing w:before="0" w:beforeAutospacing="0" w:after="0" w:afterAutospacing="0"/>
        <w:jc w:val="center"/>
      </w:pPr>
      <w:proofErr w:type="gramStart"/>
      <w:r>
        <w:rPr>
          <w:rFonts w:ascii="Calibri" w:hAnsi="Calibri"/>
          <w:color w:val="000000"/>
          <w:sz w:val="22"/>
          <w:szCs w:val="22"/>
        </w:rPr>
        <w:t>---Fine---</w:t>
      </w:r>
      <w:proofErr w:type="gramEnd"/>
    </w:p>
    <w:p w14:paraId="7D021E62" w14:textId="77777777" w:rsidR="008373FD" w:rsidRDefault="008373FD" w:rsidP="008373FD">
      <w:pPr>
        <w:rPr>
          <w:rFonts w:eastAsia="Times New Roman" w:cs="Times New Roman"/>
        </w:rPr>
      </w:pPr>
    </w:p>
    <w:p w14:paraId="55549D98" w14:textId="77777777" w:rsidR="008373FD" w:rsidRDefault="008373FD" w:rsidP="00BF205F">
      <w:pPr>
        <w:pStyle w:val="NormaleWeb"/>
        <w:spacing w:before="120" w:beforeAutospacing="0" w:after="0" w:afterAutospacing="0"/>
        <w:ind w:left="708" w:right="-41"/>
        <w:jc w:val="both"/>
      </w:pPr>
      <w:r>
        <w:rPr>
          <w:rFonts w:ascii="Calibri" w:hAnsi="Calibri"/>
          <w:b/>
          <w:bCs/>
          <w:color w:val="222222"/>
          <w:shd w:val="clear" w:color="auto" w:fill="FFFFFF"/>
        </w:rPr>
        <w:t>Talent Garden</w:t>
      </w:r>
      <w:r>
        <w:rPr>
          <w:rFonts w:ascii="Calibri" w:hAnsi="Calibri"/>
          <w:color w:val="222222"/>
          <w:shd w:val="clear" w:color="auto" w:fill="FFFFFF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di 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>
        <w:rPr>
          <w:rFonts w:ascii="Calibri" w:hAnsi="Calibri"/>
          <w:color w:val="222222"/>
          <w:shd w:val="clear" w:color="auto" w:fill="FFFFFF"/>
        </w:rPr>
        <w:t>ad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essere presente con 26 Campus in 19 città e 8 Paesi europei diventando leader europeo del suo settore. Questo anche grazie all’entrata nel capitale sociale, anni fa, di TIP – Tamburi </w:t>
      </w:r>
      <w:proofErr w:type="spellStart"/>
      <w:r>
        <w:rPr>
          <w:rFonts w:ascii="Calibri" w:hAnsi="Calibri"/>
          <w:color w:val="222222"/>
          <w:shd w:val="clear" w:color="auto" w:fill="FFFFFF"/>
        </w:rPr>
        <w:t>Investment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Partners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e di alcune importanti famiglie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di </w:t>
      </w:r>
      <w:proofErr w:type="gramEnd"/>
      <w:r>
        <w:rPr>
          <w:rFonts w:ascii="Calibri" w:hAnsi="Calibri"/>
          <w:color w:val="222222"/>
          <w:shd w:val="clear" w:color="auto" w:fill="FFFFFF"/>
        </w:rPr>
        <w:t>imprenditori italiani.</w:t>
      </w:r>
    </w:p>
    <w:p w14:paraId="2A2EC422" w14:textId="77777777" w:rsidR="008373FD" w:rsidRDefault="008373FD" w:rsidP="008373FD">
      <w:pPr>
        <w:pStyle w:val="NormaleWeb"/>
        <w:spacing w:before="0" w:beforeAutospacing="0" w:after="160" w:afterAutospacing="0"/>
      </w:pPr>
      <w:r>
        <w:rPr>
          <w:rFonts w:ascii="Calibri" w:hAnsi="Calibri"/>
          <w:color w:val="000000"/>
        </w:rPr>
        <w:t> </w:t>
      </w:r>
    </w:p>
    <w:p w14:paraId="5F27261D" w14:textId="77777777" w:rsidR="008373FD" w:rsidRDefault="008373FD" w:rsidP="00BF205F">
      <w:pPr>
        <w:pStyle w:val="NormaleWeb"/>
        <w:spacing w:before="0" w:beforeAutospacing="0" w:after="60" w:afterAutospacing="0"/>
        <w:ind w:left="708" w:right="1960"/>
        <w:jc w:val="both"/>
      </w:pPr>
      <w:r>
        <w:rPr>
          <w:rFonts w:ascii="Calibri" w:hAnsi="Calibri"/>
          <w:b/>
          <w:bCs/>
          <w:color w:val="000000"/>
          <w:sz w:val="18"/>
          <w:szCs w:val="18"/>
          <w:u w:val="single"/>
          <w:shd w:val="clear" w:color="auto" w:fill="FFFFFF"/>
        </w:rPr>
        <w:t>Contatti</w:t>
      </w:r>
    </w:p>
    <w:p w14:paraId="7BEE1799" w14:textId="77777777" w:rsidR="008373FD" w:rsidRDefault="008373FD" w:rsidP="00BF205F">
      <w:pPr>
        <w:pStyle w:val="NormaleWeb"/>
        <w:spacing w:before="0" w:beforeAutospacing="0" w:after="60" w:afterAutospacing="0"/>
        <w:ind w:left="708" w:right="1960"/>
        <w:jc w:val="both"/>
      </w:pPr>
      <w:r>
        <w:rPr>
          <w:rFonts w:ascii="Calibri" w:hAnsi="Calibri"/>
          <w:color w:val="000000"/>
          <w:sz w:val="18"/>
          <w:szCs w:val="18"/>
        </w:rPr>
        <w:t> </w:t>
      </w:r>
    </w:p>
    <w:p w14:paraId="780C4C74" w14:textId="77777777" w:rsidR="008373FD" w:rsidRDefault="008373FD" w:rsidP="00BF205F">
      <w:pPr>
        <w:pStyle w:val="NormaleWeb"/>
        <w:spacing w:before="0" w:beforeAutospacing="0" w:after="60" w:afterAutospacing="0"/>
        <w:ind w:left="708" w:right="1720"/>
        <w:jc w:val="both"/>
      </w:pPr>
      <w:r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Talent Garden</w:t>
      </w:r>
    </w:p>
    <w:p w14:paraId="0ADDF25C" w14:textId="77777777" w:rsidR="008373FD" w:rsidRDefault="008373FD" w:rsidP="00BF205F">
      <w:pPr>
        <w:pStyle w:val="NormaleWeb"/>
        <w:spacing w:before="0" w:beforeAutospacing="0" w:after="60" w:afterAutospacing="0"/>
        <w:ind w:left="708" w:right="1720"/>
        <w:jc w:val="both"/>
      </w:pPr>
      <w:r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Ufficio Stampa Eidos - La forza delle idee</w:t>
      </w:r>
    </w:p>
    <w:p w14:paraId="7FA75C67" w14:textId="77777777" w:rsidR="008373FD" w:rsidRDefault="008373FD" w:rsidP="00BF205F">
      <w:pPr>
        <w:pStyle w:val="NormaleWeb"/>
        <w:spacing w:before="0" w:beforeAutospacing="0" w:after="60" w:afterAutospacing="0"/>
        <w:ind w:left="708" w:right="1720"/>
        <w:jc w:val="both"/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Mariaclara Nitti | mcnitti@eidos.net</w:t>
      </w:r>
    </w:p>
    <w:p w14:paraId="5290E955" w14:textId="77777777" w:rsidR="008373FD" w:rsidRDefault="008373FD" w:rsidP="00BF205F">
      <w:pPr>
        <w:pStyle w:val="NormaleWeb"/>
        <w:spacing w:before="0" w:beforeAutospacing="0" w:after="60" w:afterAutospacing="0"/>
        <w:ind w:left="708" w:right="1720"/>
        <w:jc w:val="both"/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Filippo Ferrari | fferrari@eidos.net</w:t>
      </w:r>
    </w:p>
    <w:p w14:paraId="1C543CEB" w14:textId="77777777" w:rsidR="008373FD" w:rsidRDefault="008373FD" w:rsidP="00BF205F">
      <w:pPr>
        <w:pStyle w:val="NormaleWeb"/>
        <w:spacing w:before="0" w:beforeAutospacing="0" w:after="60" w:afterAutospacing="0"/>
        <w:ind w:left="708" w:right="1720"/>
        <w:jc w:val="both"/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Phone: 02-8900870 | 339-4954174</w:t>
      </w:r>
    </w:p>
    <w:p w14:paraId="66B1D172" w14:textId="77777777" w:rsidR="008373FD" w:rsidRDefault="008373FD" w:rsidP="008373FD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27854D20" w14:textId="40D0D0EF" w:rsidR="001808FF" w:rsidRPr="001808FF" w:rsidRDefault="001808FF" w:rsidP="008373FD">
      <w:pPr>
        <w:pStyle w:val="NormaleWeb"/>
        <w:spacing w:before="0" w:beforeAutospacing="0" w:after="0" w:afterAutospacing="0"/>
        <w:jc w:val="center"/>
        <w:rPr>
          <w:rFonts w:eastAsia="Times New Roman"/>
        </w:rPr>
      </w:pPr>
    </w:p>
    <w:p w14:paraId="05B19A0A" w14:textId="530A5B23" w:rsidR="00EE60D4" w:rsidRPr="00C61350" w:rsidRDefault="00EE60D4" w:rsidP="001808FF">
      <w:pPr>
        <w:pStyle w:val="NormaleWeb"/>
        <w:spacing w:before="0" w:beforeAutospacing="0" w:after="60" w:afterAutospacing="0"/>
        <w:jc w:val="center"/>
        <w:rPr>
          <w:rFonts w:asciiTheme="minorHAnsi" w:hAnsiTheme="minorHAnsi"/>
        </w:rPr>
      </w:pPr>
    </w:p>
    <w:sectPr w:rsidR="00EE60D4" w:rsidRPr="00C61350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43823" w:rsidRDefault="00543823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43823" w:rsidRDefault="00543823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43823" w:rsidRDefault="00543823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43823" w:rsidRDefault="00543823" w:rsidP="00C1482D">
      <w:pPr>
        <w:spacing w:after="0" w:line="240" w:lineRule="auto"/>
      </w:pPr>
      <w:r>
        <w:continuationSeparator/>
      </w:r>
    </w:p>
  </w:footnote>
  <w:footnote w:id="1">
    <w:p w14:paraId="6E8C0A3E" w14:textId="77777777" w:rsidR="00ED2ED8" w:rsidRPr="00ED2ED8" w:rsidRDefault="00ED2ED8" w:rsidP="00ED2ED8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Rapporto 2019 sull’economia dell’immigrazione, realizzato dalla Fondazione Leone </w:t>
      </w:r>
      <w:proofErr w:type="spellStart"/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Moressa</w:t>
      </w:r>
      <w:proofErr w:type="spellEnd"/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.</w:t>
      </w:r>
    </w:p>
    <w:p w14:paraId="121AEE6B" w14:textId="640E0057" w:rsidR="00ED2ED8" w:rsidRDefault="00ED2ED8">
      <w:pPr>
        <w:pStyle w:val="Testonotaapidipagina"/>
      </w:pPr>
    </w:p>
  </w:footnote>
  <w:footnote w:id="2">
    <w:p w14:paraId="4F6C7BB4" w14:textId="77777777" w:rsidR="00ED2ED8" w:rsidRPr="00ED2ED8" w:rsidRDefault="00ED2ED8" w:rsidP="00ED2ED8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Rapporto 2019 sull’economia dell’immigrazione, realizzato dalla Fondazione Leone </w:t>
      </w:r>
      <w:proofErr w:type="spellStart"/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Moressa</w:t>
      </w:r>
      <w:proofErr w:type="spellEnd"/>
      <w:r w:rsidRPr="00ED2ED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.</w:t>
      </w:r>
    </w:p>
    <w:p w14:paraId="2566426F" w14:textId="6CDC35F5" w:rsidR="00ED2ED8" w:rsidRDefault="00ED2ED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8F"/>
    <w:multiLevelType w:val="hybridMultilevel"/>
    <w:tmpl w:val="BFCEEA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55F1A"/>
    <w:multiLevelType w:val="multilevel"/>
    <w:tmpl w:val="6FC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49A3"/>
    <w:multiLevelType w:val="multilevel"/>
    <w:tmpl w:val="5EE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B750B"/>
    <w:multiLevelType w:val="multilevel"/>
    <w:tmpl w:val="15E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2ABB"/>
    <w:multiLevelType w:val="multilevel"/>
    <w:tmpl w:val="F4A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0955"/>
    <w:multiLevelType w:val="multilevel"/>
    <w:tmpl w:val="731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B0B5A"/>
    <w:multiLevelType w:val="multilevel"/>
    <w:tmpl w:val="59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F6072"/>
    <w:multiLevelType w:val="multilevel"/>
    <w:tmpl w:val="7250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9629E"/>
    <w:multiLevelType w:val="multilevel"/>
    <w:tmpl w:val="30D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F43A9"/>
    <w:multiLevelType w:val="multilevel"/>
    <w:tmpl w:val="C2B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2FB"/>
    <w:multiLevelType w:val="multilevel"/>
    <w:tmpl w:val="00D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B1C94"/>
    <w:multiLevelType w:val="hybridMultilevel"/>
    <w:tmpl w:val="3A86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E0DAF"/>
    <w:multiLevelType w:val="multilevel"/>
    <w:tmpl w:val="5D1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00258"/>
    <w:multiLevelType w:val="multilevel"/>
    <w:tmpl w:val="3DB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C6E91"/>
    <w:multiLevelType w:val="multilevel"/>
    <w:tmpl w:val="149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60F96"/>
    <w:multiLevelType w:val="multilevel"/>
    <w:tmpl w:val="3B0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F7FD1"/>
    <w:rsid w:val="00101F3E"/>
    <w:rsid w:val="00112BB3"/>
    <w:rsid w:val="0017551B"/>
    <w:rsid w:val="001808FF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72D5B"/>
    <w:rsid w:val="004A029A"/>
    <w:rsid w:val="004A1547"/>
    <w:rsid w:val="004F47A0"/>
    <w:rsid w:val="0052188E"/>
    <w:rsid w:val="00532ECF"/>
    <w:rsid w:val="005330B8"/>
    <w:rsid w:val="005426BE"/>
    <w:rsid w:val="00543823"/>
    <w:rsid w:val="00560E0E"/>
    <w:rsid w:val="00561D14"/>
    <w:rsid w:val="005641EC"/>
    <w:rsid w:val="005751BB"/>
    <w:rsid w:val="005D2D0E"/>
    <w:rsid w:val="005D78EB"/>
    <w:rsid w:val="005F64DF"/>
    <w:rsid w:val="00644C9B"/>
    <w:rsid w:val="006523FB"/>
    <w:rsid w:val="006651E2"/>
    <w:rsid w:val="00676237"/>
    <w:rsid w:val="006B16B0"/>
    <w:rsid w:val="00711041"/>
    <w:rsid w:val="00732FF4"/>
    <w:rsid w:val="00740383"/>
    <w:rsid w:val="00743989"/>
    <w:rsid w:val="007573D7"/>
    <w:rsid w:val="00767991"/>
    <w:rsid w:val="0077548D"/>
    <w:rsid w:val="0078401F"/>
    <w:rsid w:val="00791AE3"/>
    <w:rsid w:val="00794EAD"/>
    <w:rsid w:val="007A5BA2"/>
    <w:rsid w:val="007B0741"/>
    <w:rsid w:val="007F6F68"/>
    <w:rsid w:val="00803A4E"/>
    <w:rsid w:val="008313C8"/>
    <w:rsid w:val="008373FD"/>
    <w:rsid w:val="00876F99"/>
    <w:rsid w:val="008922BC"/>
    <w:rsid w:val="0089439F"/>
    <w:rsid w:val="008A2633"/>
    <w:rsid w:val="008F2767"/>
    <w:rsid w:val="009537D4"/>
    <w:rsid w:val="00953EBC"/>
    <w:rsid w:val="00962FDB"/>
    <w:rsid w:val="00963C00"/>
    <w:rsid w:val="009C5E02"/>
    <w:rsid w:val="009F0022"/>
    <w:rsid w:val="009F7AA1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42F23"/>
    <w:rsid w:val="00B805A1"/>
    <w:rsid w:val="00BB036B"/>
    <w:rsid w:val="00BB10B5"/>
    <w:rsid w:val="00BC5A99"/>
    <w:rsid w:val="00BE4AEC"/>
    <w:rsid w:val="00BF205F"/>
    <w:rsid w:val="00C033FA"/>
    <w:rsid w:val="00C1482D"/>
    <w:rsid w:val="00C23532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655C"/>
    <w:rsid w:val="00D84923"/>
    <w:rsid w:val="00D876F1"/>
    <w:rsid w:val="00DA1057"/>
    <w:rsid w:val="00DD2702"/>
    <w:rsid w:val="00E31F8A"/>
    <w:rsid w:val="00E702C7"/>
    <w:rsid w:val="00E71267"/>
    <w:rsid w:val="00E74E18"/>
    <w:rsid w:val="00E86945"/>
    <w:rsid w:val="00EB32DD"/>
    <w:rsid w:val="00ED2ED8"/>
    <w:rsid w:val="00EE60D4"/>
    <w:rsid w:val="00F07247"/>
    <w:rsid w:val="00F17617"/>
    <w:rsid w:val="00F2154B"/>
    <w:rsid w:val="00F35102"/>
    <w:rsid w:val="00F4050A"/>
    <w:rsid w:val="00F448C6"/>
    <w:rsid w:val="00F575CD"/>
    <w:rsid w:val="00F954F7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2ED8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D2ED8"/>
    <w:rPr>
      <w:rFonts w:ascii="Calibri" w:eastAsia="Calibri" w:hAnsi="Calibri" w:cs="Calibri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D2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2ED8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D2ED8"/>
    <w:rPr>
      <w:rFonts w:ascii="Calibri" w:eastAsia="Calibri" w:hAnsi="Calibri" w:cs="Calibri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D2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itrawmaterials.eu/" TargetMode="External"/><Relationship Id="rId12" Type="http://schemas.openxmlformats.org/officeDocument/2006/relationships/hyperlink" Target="https://www.gofundme.com/" TargetMode="External"/><Relationship Id="rId13" Type="http://schemas.openxmlformats.org/officeDocument/2006/relationships/hyperlink" Target="https://www.uber.com/it/it/" TargetMode="External"/><Relationship Id="rId14" Type="http://schemas.openxmlformats.org/officeDocument/2006/relationships/hyperlink" Target="https://urbansportsclub.com/e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rsity.co/it/" TargetMode="External"/><Relationship Id="rId10" Type="http://schemas.openxmlformats.org/officeDocument/2006/relationships/hyperlink" Target="https://forwardfooding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1977</Words>
  <Characters>11269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8</cp:revision>
  <cp:lastPrinted>2019-03-11T06:51:00Z</cp:lastPrinted>
  <dcterms:created xsi:type="dcterms:W3CDTF">2019-10-14T11:17:00Z</dcterms:created>
  <dcterms:modified xsi:type="dcterms:W3CDTF">2019-10-14T16:53:00Z</dcterms:modified>
</cp:coreProperties>
</file>